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>
      <w:pPr>
        <w:spacing w:beforeAutospacing="1" w:afterAutospacing="1"/>
        <w:ind w:left="1080"/>
        <w:jc w:val="right"/>
        <w:rPr>
          <w:shd w:val="clear" w:color="auto" w:fill="FFFF00"/>
        </w:rPr>
      </w:pPr>
      <w:r w:rsidRPr="001322E1">
        <w:rPr>
          <w:rFonts w:ascii="Arial" w:hAnsi="Arial" w:cs="Arial"/>
        </w:rPr>
        <w:t xml:space="preserve">CONTRATO Nº </w:t>
      </w:r>
      <w:r w:rsidR="001322E1">
        <w:rPr>
          <w:rFonts w:ascii="Arial" w:hAnsi="Arial" w:cs="Arial"/>
        </w:rPr>
        <w:t>004/2024</w:t>
      </w: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Objeto: Credenciamento de profissionais habilitados (arquitetos, engenheiros ou corretores de imóveis) para elaboração de laudos de avaliação de imóveis, nas operações de compra de imóveis, bem, para atender às necessidades da </w:t>
      </w:r>
      <w:r>
        <w:rPr>
          <w:rFonts w:ascii="Arial" w:hAnsi="Arial" w:cs="Arial"/>
        </w:rPr>
        <w:t>Câmara Municipal de Apiacás/MT, conforme especificações do Termo de Referência constante do Anexo I.</w:t>
      </w: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PREÂMBULO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um lado, como </w:t>
      </w:r>
      <w:r>
        <w:rPr>
          <w:rFonts w:ascii="Arial" w:hAnsi="Arial" w:cs="Arial"/>
          <w:b/>
          <w:bCs/>
        </w:rPr>
        <w:t>CONTRATANTE</w:t>
      </w:r>
      <w:r>
        <w:rPr>
          <w:rFonts w:ascii="Arial" w:hAnsi="Arial" w:cs="Arial"/>
        </w:rPr>
        <w:t>, a Câmara Municipal de Apiacás, com sede na Av. Ludovico da Riva Neto, nº 206, Centro, inscrito no CNPJ sob o nº 01</w:t>
      </w:r>
      <w:r>
        <w:rPr>
          <w:rFonts w:ascii="Arial" w:hAnsi="Arial" w:cs="Arial"/>
        </w:rPr>
        <w:t xml:space="preserve">.327.030/0001-70, representado pelo Presidente da Câmara Municipal, Senhor </w:t>
      </w:r>
      <w:r>
        <w:rPr>
          <w:rFonts w:ascii="Arial" w:hAnsi="Arial" w:cs="Arial"/>
          <w:b/>
          <w:bCs/>
        </w:rPr>
        <w:t xml:space="preserve">VALDOMIRO NUNES BERNARDES, </w:t>
      </w:r>
      <w:r>
        <w:rPr>
          <w:rFonts w:ascii="Arial" w:hAnsi="Arial" w:cs="Arial"/>
        </w:rPr>
        <w:t>brasileiro, empresario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portador</w:t>
      </w:r>
      <w:r>
        <w:rPr>
          <w:rFonts w:ascii="Arial" w:hAnsi="Arial" w:cs="Arial"/>
        </w:rPr>
        <w:t xml:space="preserve"> do RG sob nº 09153225 SSP/MT e do CPF sob nº 955.198.239-87, residente e domiciliado na Av. Guilherme Dobri, s/nº, bairro</w:t>
      </w:r>
      <w:r>
        <w:rPr>
          <w:rFonts w:ascii="Arial" w:hAnsi="Arial" w:cs="Arial"/>
        </w:rPr>
        <w:t xml:space="preserve"> Bom Jesus, CEP 78595-000, na cidade de Apiacás - MT e de outro lado, como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 xml:space="preserve">, a empresa </w:t>
      </w:r>
      <w:r>
        <w:rPr>
          <w:rFonts w:ascii="Arial" w:hAnsi="Arial" w:cs="Arial"/>
          <w:b/>
          <w:bCs/>
        </w:rPr>
        <w:t xml:space="preserve">IMOBILIÁRIA ALTA FLORESTA – LTDA. </w:t>
      </w:r>
      <w:r>
        <w:rPr>
          <w:rFonts w:ascii="Arial" w:hAnsi="Arial" w:cs="Arial"/>
        </w:rPr>
        <w:t>CNPJ nº 11.821.879/0001-59, localizada na Av. Ludovico da Riva Neto, nº 1420, Centro, CEP 78587-000 na cidade de Alta Florest</w:t>
      </w:r>
      <w:r>
        <w:rPr>
          <w:rFonts w:ascii="Arial" w:hAnsi="Arial" w:cs="Arial"/>
        </w:rPr>
        <w:t xml:space="preserve">a - MT , representada pelo corretor de imóveis Sr. Antônio Rodrigues Aragon portador do RG sob nº 332905 SSP/MT e CPF sob nº 229.640.881-87, </w:t>
      </w:r>
      <w:r>
        <w:rPr>
          <w:rFonts w:ascii="Arial" w:hAnsi="Arial" w:cs="Arial"/>
        </w:rPr>
        <w:t>e em observância às disposições da Lei nº 14.133/2021, resolvem c</w:t>
      </w:r>
      <w:r>
        <w:rPr>
          <w:rFonts w:ascii="Arial" w:hAnsi="Arial" w:cs="Arial"/>
        </w:rPr>
        <w:t xml:space="preserve">elebrar o presente Termo de </w:t>
      </w:r>
      <w:r w:rsidR="001322E1">
        <w:rPr>
          <w:rFonts w:ascii="Arial" w:hAnsi="Arial" w:cs="Arial"/>
          <w:shd w:val="clear" w:color="auto" w:fill="FFFFFF" w:themeFill="background1"/>
        </w:rPr>
        <w:t>Processo nº 007</w:t>
      </w:r>
      <w:r w:rsidR="001322E1" w:rsidRPr="00F25B78">
        <w:rPr>
          <w:rFonts w:ascii="Arial" w:hAnsi="Arial" w:cs="Arial"/>
          <w:shd w:val="clear" w:color="auto" w:fill="FFFFFF" w:themeFill="background1"/>
        </w:rPr>
        <w:t>/202</w:t>
      </w:r>
      <w:r w:rsidR="001322E1">
        <w:rPr>
          <w:rFonts w:ascii="Arial" w:hAnsi="Arial" w:cs="Arial"/>
          <w:shd w:val="clear" w:color="auto" w:fill="FFFFFF" w:themeFill="background1"/>
        </w:rPr>
        <w:t>4</w:t>
      </w:r>
      <w:r w:rsidR="001322E1">
        <w:rPr>
          <w:rFonts w:ascii="Arial" w:hAnsi="Arial" w:cs="Arial"/>
        </w:rPr>
        <w:t xml:space="preserve"> e em observância às disposições da Lei nº 14.133/202,</w:t>
      </w:r>
      <w:r>
        <w:rPr>
          <w:rFonts w:ascii="Arial" w:hAnsi="Arial" w:cs="Arial"/>
        </w:rPr>
        <w:t xml:space="preserve"> mediante as cláusulas e condições a seguir enunciadas:</w:t>
      </w: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 w:rsidP="001322E1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PRIMEIRA DO OBJETO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- O objeto do presente instrumento é o credenciamento de profissionais habilit</w:t>
      </w:r>
      <w:r>
        <w:rPr>
          <w:rFonts w:ascii="Arial" w:hAnsi="Arial" w:cs="Arial"/>
        </w:rPr>
        <w:t>ados (arquitetos, engenheiros ou corretores de imóveis), para elaboração de laudos de avaliação de imóveis, nas operações de compra de imóveis, para atender às necessidades da Câmara Municipal de Apiacás/MT, conforme especificações do Termo de Referência c</w:t>
      </w:r>
      <w:r>
        <w:rPr>
          <w:rFonts w:ascii="Arial" w:hAnsi="Arial" w:cs="Arial"/>
        </w:rPr>
        <w:t>onstante do Anexo I.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- Objeto da contratação: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6D28" w:rsidRDefault="00AF6D28">
      <w:pPr>
        <w:spacing w:beforeAutospacing="1" w:afterAutospacing="1"/>
        <w:jc w:val="both"/>
        <w:rPr>
          <w:rFonts w:ascii="Arial" w:hAnsi="Arial" w:cs="Arial"/>
        </w:rPr>
      </w:pP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tbl>
      <w:tblPr>
        <w:tblStyle w:val="TableNormal"/>
        <w:tblW w:w="10097" w:type="dxa"/>
        <w:tblInd w:w="-4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638"/>
        <w:gridCol w:w="5718"/>
        <w:gridCol w:w="1132"/>
        <w:gridCol w:w="1443"/>
        <w:gridCol w:w="1166"/>
      </w:tblGrid>
      <w:tr w:rsidR="00AF6D28" w:rsidTr="001322E1">
        <w:trPr>
          <w:trHeight w:val="55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Descrição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Quantidade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Valor Unitário</w:t>
            </w:r>
          </w:p>
          <w:p w:rsidR="00AF6D28" w:rsidRDefault="00AF6D28">
            <w:pPr>
              <w:widowControl w:val="0"/>
              <w:rPr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Valor Total</w:t>
            </w:r>
          </w:p>
        </w:tc>
      </w:tr>
      <w:tr w:rsidR="00AF6D28" w:rsidTr="001322E1">
        <w:trPr>
          <w:trHeight w:val="2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D28" w:rsidRDefault="00B952E8">
            <w:pPr>
              <w:widowControl w:val="0"/>
              <w:jc w:val="center"/>
              <w:rPr>
                <w:shd w:val="clear" w:color="auto" w:fill="FFFF00"/>
                <w:lang w:val="en-US"/>
              </w:rPr>
            </w:pPr>
            <w:r w:rsidRPr="001322E1">
              <w:rPr>
                <w:lang w:val="en-US"/>
              </w:rPr>
              <w:t>01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D28" w:rsidRDefault="00B952E8">
            <w:pPr>
              <w:widowControl w:val="0"/>
              <w:rPr>
                <w:shd w:val="clear" w:color="auto" w:fill="FFFF00"/>
                <w:lang w:val="en-US"/>
              </w:rPr>
            </w:pPr>
            <w:r w:rsidRPr="001322E1">
              <w:rPr>
                <w:lang w:val="en-US"/>
              </w:rPr>
              <w:t>Serviço de Elaboração de Laudos de Avaliação de Imovéis</w:t>
            </w:r>
            <w:r>
              <w:rPr>
                <w:shd w:val="clear" w:color="auto" w:fill="FFFF00"/>
                <w:lang w:val="en-US"/>
              </w:rPr>
              <w:t xml:space="preserve"> </w:t>
            </w:r>
            <w:r w:rsidRPr="001322E1">
              <w:rPr>
                <w:lang w:val="en-US"/>
              </w:rPr>
              <w:t>visando atender as necessidades da Câmara Municipal de</w:t>
            </w:r>
            <w:r>
              <w:rPr>
                <w:shd w:val="clear" w:color="auto" w:fill="FFFF00"/>
                <w:lang w:val="en-US"/>
              </w:rPr>
              <w:t xml:space="preserve"> </w:t>
            </w:r>
            <w:r w:rsidRPr="001322E1">
              <w:rPr>
                <w:lang w:val="en-US"/>
              </w:rPr>
              <w:t xml:space="preserve">Apiacás, nas operações de compra de </w:t>
            </w:r>
            <w:r w:rsidRPr="001322E1">
              <w:rPr>
                <w:lang w:val="en-US"/>
              </w:rPr>
              <w:t>imovél.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D28" w:rsidRDefault="00B952E8">
            <w:pPr>
              <w:widowControl w:val="0"/>
              <w:jc w:val="center"/>
              <w:rPr>
                <w:shd w:val="clear" w:color="auto" w:fill="FFFF00"/>
                <w:lang w:val="en-US"/>
              </w:rPr>
            </w:pPr>
            <w:r w:rsidRPr="001322E1">
              <w:rPr>
                <w:lang w:val="en-US"/>
              </w:rPr>
              <w:t>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shd w:val="clear" w:color="auto" w:fill="FFFF00"/>
                <w:lang w:val="en-US"/>
              </w:rPr>
            </w:pPr>
            <w:r w:rsidRPr="001322E1">
              <w:rPr>
                <w:lang w:val="en-US"/>
              </w:rPr>
              <w:t>R$ 4.982,67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shd w:val="clear" w:color="auto" w:fill="FFFF00"/>
                <w:lang w:val="en-US"/>
              </w:rPr>
            </w:pPr>
            <w:r w:rsidRPr="001322E1">
              <w:rPr>
                <w:lang w:val="en-US"/>
              </w:rPr>
              <w:t>R$ 4.982,67</w:t>
            </w:r>
          </w:p>
        </w:tc>
      </w:tr>
      <w:tr w:rsidR="00AF6D28" w:rsidTr="001322E1">
        <w:trPr>
          <w:trHeight w:val="27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AF6D28">
            <w:pPr>
              <w:widowControl w:val="0"/>
              <w:rPr>
                <w:lang w:val="en-US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AF6D28">
            <w:pPr>
              <w:widowControl w:val="0"/>
              <w:rPr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AF6D28">
            <w:pPr>
              <w:widowControl w:val="0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AF6D28">
            <w:pPr>
              <w:widowControl w:val="0"/>
              <w:rPr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AF6D28">
            <w:pPr>
              <w:widowControl w:val="0"/>
              <w:rPr>
                <w:lang w:val="en-US"/>
              </w:rPr>
            </w:pPr>
          </w:p>
        </w:tc>
      </w:tr>
      <w:tr w:rsidR="00AF6D28" w:rsidTr="001322E1">
        <w:trPr>
          <w:trHeight w:val="273"/>
        </w:trPr>
        <w:tc>
          <w:tcPr>
            <w:tcW w:w="748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F6D28" w:rsidRDefault="00AF6D28">
            <w:pPr>
              <w:widowControl w:val="0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shd w:val="clear" w:color="auto" w:fill="FFFF00"/>
              </w:rPr>
            </w:pPr>
            <w:r w:rsidRPr="001322E1">
              <w:rPr>
                <w:lang w:val="en-US"/>
              </w:rPr>
              <w:t>Valor Total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rPr>
                <w:shd w:val="clear" w:color="auto" w:fill="FFFF00"/>
              </w:rPr>
            </w:pPr>
            <w:r w:rsidRPr="001322E1">
              <w:rPr>
                <w:lang w:val="en-US"/>
              </w:rPr>
              <w:t>R$ 4.982,67</w:t>
            </w:r>
          </w:p>
        </w:tc>
      </w:tr>
    </w:tbl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Vinculam</w:t>
      </w:r>
      <w:r>
        <w:rPr>
          <w:rFonts w:ascii="Arial" w:hAnsi="Arial" w:cs="Arial"/>
        </w:rPr>
        <w:tab/>
        <w:t>esta contratação, independentemente de transcrição: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Termo de Referência que embasou a contratação;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edital de Chamamento Público;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Termo de Credenciamento;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Eventuais anexos </w:t>
      </w:r>
      <w:r>
        <w:rPr>
          <w:rFonts w:ascii="Arial" w:hAnsi="Arial" w:cs="Arial"/>
        </w:rPr>
        <w:t>dos documentos supracitados.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SEGUNDA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DA VIGÊNCIA E DA PRORROGAÇÃO CONTRATUAL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2.1 - O prazo de vigência contratual inicia-se na data de sua assinatura e a vigência final será a mesma que a do edital de Chamamento Público, qual seja, 24/09/2028, pod</w:t>
      </w:r>
      <w:r>
        <w:rPr>
          <w:rFonts w:ascii="Arial" w:hAnsi="Arial" w:cs="Arial"/>
        </w:rPr>
        <w:t>endo ser prorrogada no interesse da administração, nos termos da lei 14.133/2021 e desde que haja a prorrogação da Chamada Pública de Credenciamento.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TERCEIRA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MODELOS DE EXECUÇÃO E GESTÃO CONTRATUAIS (art. 92, IV, VII e XVIII)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3.1 O regime de exec</w:t>
      </w:r>
      <w:r>
        <w:rPr>
          <w:rFonts w:ascii="Arial" w:hAnsi="Arial" w:cs="Arial"/>
        </w:rPr>
        <w:t>ução contratual, o modelo de gestão, assim como os prazos e condições de conclusão, entrega, observação e recebimento definitivo constam no Termo de Referência, anexo a este Contrato.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QUARTA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SUBCONTRATAÇÃO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será permitida a subcontratação do ob</w:t>
      </w:r>
      <w:r>
        <w:rPr>
          <w:rFonts w:ascii="Arial" w:hAnsi="Arial" w:cs="Arial"/>
        </w:rPr>
        <w:t>jeto contratual;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CLÁUSULA QUINTA DO PREÇO/PAGAMENTO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PREÇO</w:t>
      </w:r>
    </w:p>
    <w:p w:rsidR="00AF6D28" w:rsidRDefault="00B952E8">
      <w:pPr>
        <w:numPr>
          <w:ilvl w:val="0"/>
          <w:numId w:val="3"/>
        </w:numPr>
        <w:spacing w:beforeAutospacing="1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-O Valor total máximo da contratação é de 14.948,01 (catorze mil, novecentos e quarenta e oito reais e um centavo), referente a um total de 03 (três) laudos de avaliação, no valor unitário de R$ 4.9</w:t>
      </w:r>
      <w:r>
        <w:rPr>
          <w:rFonts w:ascii="Arial" w:hAnsi="Arial" w:cs="Arial"/>
        </w:rPr>
        <w:t>82,67 (quatro mil novecentos e oitenta e dois reais e sessenta e sete centavos) sendo que os quantitativos a serem demandados dependem exclusivamente da demanda da administração e da convocação de acordo com a ordem cronológica.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No valor acima estão incluí</w:t>
      </w:r>
      <w:r>
        <w:rPr>
          <w:rFonts w:ascii="Arial" w:hAnsi="Arial" w:cs="Arial"/>
        </w:rPr>
        <w:t>das todas as despesas ordinárias diretas e indiretas decorrentes da execução do objeto, inclusive tributos e/ou impostos, encargos sociais, trabalhistas, previdenciários, fiscais e comerciais incidentes, taxa de administração, frete, seguro e outros necess</w:t>
      </w:r>
      <w:r>
        <w:rPr>
          <w:rFonts w:ascii="Arial" w:hAnsi="Arial" w:cs="Arial"/>
        </w:rPr>
        <w:t>ários ao cumprimento integral do objeto da contratação.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FORMA DE PAGAMENTO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pagamento será realizado através de ordem bancária, para crédito em banco, agência e conta corrente indicados pelo contratado.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Será considerada data do pagamento o dia em que cons</w:t>
      </w:r>
      <w:r>
        <w:rPr>
          <w:rFonts w:ascii="Arial" w:hAnsi="Arial" w:cs="Arial"/>
        </w:rPr>
        <w:t>tar como emitida a ordem bancária para pagamento.</w:t>
      </w:r>
    </w:p>
    <w:p w:rsidR="00AF6D28" w:rsidRDefault="00B952E8">
      <w:pPr>
        <w:pStyle w:val="NormalWeb"/>
        <w:numPr>
          <w:ilvl w:val="0"/>
          <w:numId w:val="2"/>
        </w:numPr>
        <w:spacing w:before="280" w:after="28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Fica PROIBIDA a emissão de BOLETO BANCÁRIO, sendo que o pagamento deverá ser efetuado exclusivamente através de chave PIX ou transferência bancária para conta da Contratada.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PRAZO DE PAGAMENTO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pagamento s</w:t>
      </w:r>
      <w:r>
        <w:rPr>
          <w:rFonts w:ascii="Arial" w:hAnsi="Arial" w:cs="Arial"/>
        </w:rPr>
        <w:t>erá realizado no prazo máximo de até 10(dez) dias úteis, contados da liquidação da despesa na Contabilidade Pública, que somente será efetivada mediante a comprovação de serviço prestado acompanhado do “atesto” do responsável do setor competente.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CONDIÇÕES DE PAGAMENTO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 emissão da Nota Fiscal/Fatura será precedida do recebimento definitivo do objeto da contratação, conforme disposto neste instrumento e/ou no Termo de Referência.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54.2 Quando houver glosa parcial do objeto, o contratante deverá comu</w:t>
      </w:r>
      <w:r>
        <w:rPr>
          <w:rFonts w:ascii="Arial" w:hAnsi="Arial" w:cs="Arial"/>
        </w:rPr>
        <w:t>nicar a empresa para que emita a nota fiscal ou fatura com o valor exato dimensionado.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setor competente para proceder ao pagamento deve verificar se a Nota Fiscal ou Fatura apresentada expressa os elementos necessários e essenciais do documento, tais com</w:t>
      </w:r>
      <w:r>
        <w:rPr>
          <w:rFonts w:ascii="Arial" w:hAnsi="Arial" w:cs="Arial"/>
        </w:rPr>
        <w:t>o: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prazo de validade;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 data da emissão;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os dados do contrato e do órgão contratante;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período respectivo de execução do contrato;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a pagar; e eventual destaque do valor de retenções tributárias cabíveis.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Previamente à emissão de nota de empenh</w:t>
      </w:r>
      <w:r>
        <w:rPr>
          <w:rFonts w:ascii="Arial" w:hAnsi="Arial" w:cs="Arial"/>
        </w:rPr>
        <w:t>o e a cada pagamento, a Administração deverá realizar consulta on line para: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a) verificar a manutenção das condições de habilitação exigidas no edital; 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identificar possível razão que impeça a participação em licitação, no âmbito do órgão ou entidade, </w:t>
      </w:r>
      <w:r>
        <w:rPr>
          <w:rFonts w:ascii="Arial" w:hAnsi="Arial" w:cs="Arial"/>
        </w:rPr>
        <w:t>proibição de contratar com o Poder Público, bem como ocorrências impeditivas indiretas.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Constatando-se a situação de irregularidade do contratado, será providenciada sua notificação, por escrito, para que, no prazo de 5 (cinco) dias úteis, regularize sua s</w:t>
      </w:r>
      <w:r>
        <w:rPr>
          <w:rFonts w:ascii="Arial" w:hAnsi="Arial" w:cs="Arial"/>
        </w:rPr>
        <w:t>ituação ou, no mesmo prazo, apresente sua defesa. O prazo poderá ser prorrogado uma vez, por igual período, a critério do contratante.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Não havendo regularização ou sendo a defesa considerada improcedente, o contratante deverá comunicar aos órgãos responsáv</w:t>
      </w:r>
      <w:r>
        <w:rPr>
          <w:rFonts w:ascii="Arial" w:hAnsi="Arial" w:cs="Arial"/>
        </w:rPr>
        <w:t>eis pela fiscalização da regularidade fiscal quanto à inadimplência do contratado, bem como quanto à existência de pagamento a ser efetuado, para que sejam acionados os meios pertinentes e necessários para garantir o recebimento de seus créditos.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Persistin</w:t>
      </w:r>
      <w:r>
        <w:rPr>
          <w:rFonts w:ascii="Arial" w:hAnsi="Arial" w:cs="Arial"/>
        </w:rPr>
        <w:t>do a irregularidade, o contratante deverá adotar as medidas necessárias à rescisão contratual nos autos do processo administrativo correspondente, assegurada ao contratado a ampla defesa.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Havendo a efetiva execução do objeto, os pagamentos serão realizados</w:t>
      </w:r>
      <w:r>
        <w:rPr>
          <w:rFonts w:ascii="Arial" w:hAnsi="Arial" w:cs="Arial"/>
        </w:rPr>
        <w:t xml:space="preserve"> normalmente, até que se decida pela rescisão do contrato, caso o contratado não regularize sua situação.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Quando do pagamento, será efetuada a retenção tributária prevista na legislação aplicável.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Independentemente do percentual de tributo inserido na plan</w:t>
      </w:r>
      <w:r>
        <w:rPr>
          <w:rFonts w:ascii="Arial" w:hAnsi="Arial" w:cs="Arial"/>
        </w:rPr>
        <w:t>ilha, no pagamento serão retidos na fonte os percentuais estabelecidos na legislação vigente.</w:t>
      </w:r>
    </w:p>
    <w:p w:rsidR="00AF6D28" w:rsidRDefault="00B952E8">
      <w:pPr>
        <w:spacing w:beforeAutospacing="1" w:afterAutospacing="1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contratado regularmente optante pelo Simples Nacional, nos termos da Lei Complementar nº 123, de 2006, não sofrerá a retenção tributária quanto aos impostos e c</w:t>
      </w:r>
      <w:r>
        <w:rPr>
          <w:rFonts w:ascii="Arial" w:hAnsi="Arial" w:cs="Arial"/>
        </w:rPr>
        <w:t>ontribuições abrangidos por aquele regime. No entanto, o pagamento ficará condicionado à apresentação de comprovação, por meio de documento oficial, de que faz jus ao tratamento tributário favorecido previsto na referida</w:t>
      </w: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>
      <w:pPr>
        <w:spacing w:beforeAutospacing="1" w:afterAutospacing="1"/>
        <w:rPr>
          <w:rFonts w:ascii="Arial" w:hAnsi="Arial" w:cs="Arial"/>
        </w:rPr>
      </w:pPr>
      <w:r>
        <w:rPr>
          <w:rFonts w:ascii="Arial" w:hAnsi="Arial" w:cs="Arial"/>
        </w:rPr>
        <w:t>CLÁUSULA SEXTA - DO REAJUSTE</w:t>
      </w:r>
    </w:p>
    <w:p w:rsidR="00AF6D28" w:rsidRDefault="00B952E8">
      <w:pPr>
        <w:numPr>
          <w:ilvl w:val="0"/>
          <w:numId w:val="4"/>
        </w:numPr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Os va</w:t>
      </w:r>
      <w:r>
        <w:rPr>
          <w:rFonts w:ascii="Arial" w:hAnsi="Arial" w:cs="Arial"/>
        </w:rPr>
        <w:t>lores dos laudos serão reajustados anualmente com base no índice econômico IPCA/IBGE.</w:t>
      </w:r>
    </w:p>
    <w:p w:rsidR="00AF6D28" w:rsidRDefault="00B952E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 alterações serão efetuadas por meio de apostilamento, com extrato publicado no Diário Oficial do Município.</w:t>
      </w:r>
    </w:p>
    <w:p w:rsidR="00AF6D28" w:rsidRDefault="00B952E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atraso ou não divulgação dos índices de reajuste</w:t>
      </w:r>
      <w:r>
        <w:rPr>
          <w:rFonts w:ascii="Arial" w:hAnsi="Arial" w:cs="Arial"/>
        </w:rPr>
        <w:t>, o Contratante pagará ao Contratado o valor calculado pela última variação conhecida, ajustando-o assim que os índices definitivos forem publicados.</w:t>
      </w:r>
    </w:p>
    <w:p w:rsidR="00AF6D28" w:rsidRDefault="00B952E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Nas aferições finais, o índice definitivo será obrigatoriamente utilizado para o reajuste.</w:t>
      </w:r>
    </w:p>
    <w:p w:rsidR="00AF6D28" w:rsidRDefault="00B952E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os índices </w:t>
      </w:r>
      <w:r>
        <w:rPr>
          <w:rFonts w:ascii="Arial" w:hAnsi="Arial" w:cs="Arial"/>
        </w:rPr>
        <w:t>estabelecidos para reajuste forem extintos ou não puderem ser utilizados, será adotado um novo índice oficial, conforme termo aditivo.</w:t>
      </w:r>
    </w:p>
    <w:p w:rsidR="00AF6D28" w:rsidRDefault="00B952E8">
      <w:pPr>
        <w:numPr>
          <w:ilvl w:val="0"/>
          <w:numId w:val="4"/>
        </w:numPr>
        <w:spacing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 reajuste será realizado por apostilamento.</w:t>
      </w:r>
    </w:p>
    <w:p w:rsidR="00AF6D28" w:rsidRDefault="00B952E8">
      <w:pPr>
        <w:spacing w:beforeAutospacing="1" w:afterAutospacing="1"/>
        <w:rPr>
          <w:rFonts w:ascii="Arial" w:hAnsi="Arial" w:cs="Arial"/>
        </w:rPr>
      </w:pPr>
      <w:r>
        <w:rPr>
          <w:rFonts w:ascii="Arial" w:hAnsi="Arial" w:cs="Arial"/>
        </w:rPr>
        <w:t>CLÁUSULA SÉTIMA - OBRIGAÇÕES DO CONTRATANTE</w:t>
      </w:r>
    </w:p>
    <w:p w:rsidR="00AF6D28" w:rsidRDefault="00B952E8">
      <w:pPr>
        <w:numPr>
          <w:ilvl w:val="0"/>
          <w:numId w:val="5"/>
        </w:numPr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Exigir que o Contratado cumpra t</w:t>
      </w:r>
      <w:r>
        <w:rPr>
          <w:rFonts w:ascii="Arial" w:hAnsi="Arial" w:cs="Arial"/>
        </w:rPr>
        <w:t>odas as obrigações contratuais e anexas.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Receber o objeto dentro do prazo e condições definidas no Termo de Referência.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Notificar o Contratado por escrito sobre quaisquer vícios, defeitos ou incorreções encontrados no objeto fornecido, para que ele os corr</w:t>
      </w:r>
      <w:r>
        <w:rPr>
          <w:rFonts w:ascii="Arial" w:hAnsi="Arial" w:cs="Arial"/>
        </w:rPr>
        <w:t>ija às suas expensas, total ou parcialmente.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Fiscalizar e acompanhar a execução do contrato, verificando o cumprimento das obrigações pelo Contratado.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o pagamento ao Contratado pelo fornecimento do objeto, conforme prazo, forma e condições do cont</w:t>
      </w:r>
      <w:r>
        <w:rPr>
          <w:rFonts w:ascii="Arial" w:hAnsi="Arial" w:cs="Arial"/>
        </w:rPr>
        <w:t>rato.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Aplicar sanções ao Contratado pela inexecução total ou parcial do contrato.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ao órgão de representação judicial do Município de Valentim Gentil sobre quaisquer descumprimentos contratuais pelo Contratado.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Emitir decisão sobre todas as solicit</w:t>
      </w:r>
      <w:r>
        <w:rPr>
          <w:rFonts w:ascii="Arial" w:hAnsi="Arial" w:cs="Arial"/>
        </w:rPr>
        <w:t>ações e reclamações relacionadas à execução do contrato, exceto as manifestamente impertinentes, protelatórias ou sem relevância para a boa execução do contrato.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administração terá até 10 dias úteis, a partir do protocolo do requerimento, para decidir, p</w:t>
      </w:r>
      <w:r>
        <w:rPr>
          <w:rFonts w:ascii="Arial" w:hAnsi="Arial" w:cs="Arial"/>
        </w:rPr>
        <w:t>odendo haver prorrogação motivada por igual período.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aos pedidos de reequilíbrio econômico-financeiro feitos pelo Contratado em até 10 dias úteis.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Notificar os emitentes de garantias sobre o início de processo administrativo para apurar descumpri</w:t>
      </w:r>
      <w:r>
        <w:rPr>
          <w:rFonts w:ascii="Arial" w:hAnsi="Arial" w:cs="Arial"/>
        </w:rPr>
        <w:t>mentos contratuais.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administração não se responsabilizará por compromissos assumidos pelo Contratado com terceiros relacionados à execução do contrato, nem por danos causados a terceiros devido a atos do Contratado, seus empregados, prepostos ou subordin</w:t>
      </w:r>
      <w:r>
        <w:rPr>
          <w:rFonts w:ascii="Arial" w:hAnsi="Arial" w:cs="Arial"/>
        </w:rPr>
        <w:t>ados.</w:t>
      </w:r>
    </w:p>
    <w:p w:rsidR="00AF6D28" w:rsidRDefault="00B952E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análise de qualidade do produto fornecido pela Contratada, quando julgar necessário.</w:t>
      </w:r>
    </w:p>
    <w:p w:rsidR="00AF6D28" w:rsidRDefault="00B952E8">
      <w:pPr>
        <w:numPr>
          <w:ilvl w:val="0"/>
          <w:numId w:val="5"/>
        </w:numPr>
        <w:spacing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Notificar a Contratada/Detentora, estabelecendo prazo para correção de irregularidades ou defeitos encontrados.</w:t>
      </w:r>
    </w:p>
    <w:p w:rsidR="00AF6D28" w:rsidRDefault="00B952E8">
      <w:pPr>
        <w:spacing w:beforeAutospacing="1" w:afterAutospacing="1"/>
        <w:rPr>
          <w:rFonts w:ascii="Arial" w:hAnsi="Arial" w:cs="Arial"/>
        </w:rPr>
      </w:pPr>
      <w:r>
        <w:rPr>
          <w:rFonts w:ascii="Arial" w:hAnsi="Arial" w:cs="Arial"/>
        </w:rPr>
        <w:t>CLÁUSULA OITAVA - OBRIGAÇÕES DO CONTRATADO</w:t>
      </w:r>
    </w:p>
    <w:p w:rsidR="00AF6D28" w:rsidRDefault="00B952E8">
      <w:pPr>
        <w:numPr>
          <w:ilvl w:val="0"/>
          <w:numId w:val="6"/>
        </w:numPr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>umprir todas as obrigações estabelecidas no contrato e seus anexos, incluindo aquelas do item 6 do Termo de Referência.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Atender às determinações regulares emitidas pelo fiscal ou gestor do contrato, além de prestar esclarecimentos ou informações conforme s</w:t>
      </w:r>
      <w:r>
        <w:rPr>
          <w:rFonts w:ascii="Arial" w:hAnsi="Arial" w:cs="Arial"/>
        </w:rPr>
        <w:t>olicitado por eles.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Corrigir, reparar, remover, reconstruir ou substituir, às suas expensas e dentro do prazo estabelecido pelo fiscal do contrato, quaisquer bens com vícios, defeitos ou incorreções resultantes da execução ou dos materiais utilizados.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Responsabilizar-se por vícios e danos decorrentes da execução do objeto, assim como por qualquer dano à Administração ou terceiros, sem reduzir essa responsabilidade pela fiscalização ou acompanhamento do Contratante, que poderá descontar tais valores de p</w:t>
      </w:r>
      <w:r>
        <w:rPr>
          <w:rFonts w:ascii="Arial" w:hAnsi="Arial" w:cs="Arial"/>
        </w:rPr>
        <w:t>agamentos devidos ou da garantia, se exigida.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Fornecer, junto com a Nota Fiscal para pagamento, documentos que comprovem regularidade relativa à Seguridade Social, tributos federais, Dívida Ativa da União, Fazenda Estadual ou Distrital, FGTS e Débitos Trab</w:t>
      </w:r>
      <w:r>
        <w:rPr>
          <w:rFonts w:ascii="Arial" w:hAnsi="Arial" w:cs="Arial"/>
        </w:rPr>
        <w:t>alhistas.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o cumprimento das obrigações previstas em Acordos, Convenções, Dissídios Coletivos de Trabalho ou equivalentes das categorias envolvidas no contrato, além de todas as obrigações trabalhistas, sociais, previdenciárias, tributárias e demai</w:t>
      </w:r>
      <w:r>
        <w:rPr>
          <w:rFonts w:ascii="Arial" w:hAnsi="Arial" w:cs="Arial"/>
        </w:rPr>
        <w:t>s previstas em legislação específica, sem transferir essa responsabilidade ao Contratante em caso de inadimplemento.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ao Fiscal do contrato qualquer ocorrência anormal ou acidente no local da execução do contrato, em até 24 horas.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Paralisar qualqu</w:t>
      </w:r>
      <w:r>
        <w:rPr>
          <w:rFonts w:ascii="Arial" w:hAnsi="Arial" w:cs="Arial"/>
        </w:rPr>
        <w:t>er atividade que não esteja sendo executada conforme a boa técnica ou que ponha em risco a segurança de pessoas ou bens de terceiros, por determinação do Contratante.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Manter durante toda a vigência do contrato as condições exigidas para habilitação na lici</w:t>
      </w:r>
      <w:r>
        <w:rPr>
          <w:rFonts w:ascii="Arial" w:hAnsi="Arial" w:cs="Arial"/>
        </w:rPr>
        <w:t>tação ou qualificação na contratação direta.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Manter sigilo sobre informações obtidas durante o cumprimento do contrato.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Arcar com os ônus decorrentes de eventuais equívocos no dimensionamento dos quantitativos de sua proposta, incluindo custos variáveis de</w:t>
      </w:r>
      <w:r>
        <w:rPr>
          <w:rFonts w:ascii="Arial" w:hAnsi="Arial" w:cs="Arial"/>
        </w:rPr>
        <w:t xml:space="preserve"> fatores futuros e incertos, devendo complementá-los caso a proposta inicial não seja suficiente para o objeto da contratação, exceto nos casos listados no art. 124, II, d da Lei nº 14.133/2021.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Cumprir as normas de segurança do Contratante e seguir as det</w:t>
      </w:r>
      <w:r>
        <w:rPr>
          <w:rFonts w:ascii="Arial" w:hAnsi="Arial" w:cs="Arial"/>
        </w:rPr>
        <w:t>erminações dos Poderes Públicos, mantendo limpo o local de execução do objeto, em condições de segurança, higiene e disciplina, conforme aplicável.</w:t>
      </w:r>
    </w:p>
    <w:p w:rsidR="00AF6D28" w:rsidRDefault="00B952E8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Submeter ao Contratante, por escrito, para análise e aprovação prévia, quaisquer mudanças nos métodos execut</w:t>
      </w:r>
      <w:r>
        <w:rPr>
          <w:rFonts w:ascii="Arial" w:hAnsi="Arial" w:cs="Arial"/>
        </w:rPr>
        <w:t>ivos que não estejam de acordo com as especificações do memorial descritivo ou documento semelhante.</w:t>
      </w:r>
    </w:p>
    <w:p w:rsidR="00AF6D28" w:rsidRDefault="00B952E8">
      <w:pPr>
        <w:numPr>
          <w:ilvl w:val="0"/>
          <w:numId w:val="6"/>
        </w:numPr>
        <w:spacing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Proibir o trabalho de menores de dezesseis anos, exceto na condição de aprendiz para maiores de quatorze anos, e não permitir o trabalho de menores de dezo</w:t>
      </w:r>
      <w:r>
        <w:rPr>
          <w:rFonts w:ascii="Arial" w:hAnsi="Arial" w:cs="Arial"/>
        </w:rPr>
        <w:t>ito anos em atividades noturnas, perigosas ou insalubres.</w:t>
      </w:r>
    </w:p>
    <w:p w:rsidR="00AF6D28" w:rsidRDefault="00B952E8">
      <w:pPr>
        <w:spacing w:beforeAutospacing="1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NONA - DA GARANTIA DE EXECUÇÃO</w:t>
      </w:r>
    </w:p>
    <w:p w:rsidR="00AF6D28" w:rsidRDefault="00B952E8">
      <w:pPr>
        <w:numPr>
          <w:ilvl w:val="0"/>
          <w:numId w:val="7"/>
        </w:numPr>
        <w:spacing w:beforeAutospacing="1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Não será exigida garantia contratual para a execução.</w:t>
      </w:r>
    </w:p>
    <w:p w:rsidR="00AF6D28" w:rsidRDefault="00B952E8">
      <w:pPr>
        <w:spacing w:beforeAutospacing="1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DÉCIMA - INFRAÇÕES E SANÇÕES ADMINISTRATIVAS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Constituem infrações administrativas, conforme a Lei nº 14.133/2021, aquelas cometidas pelo Contratado que: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Causarem inexecução parcial do contrato;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Causarem inexecução parcial do contrato resultando em grave dano à Administração, ao funcionamento </w:t>
      </w:r>
      <w:r>
        <w:rPr>
          <w:rFonts w:ascii="Arial" w:hAnsi="Arial" w:cs="Arial"/>
        </w:rPr>
        <w:t xml:space="preserve">dos serviços públicos ou ao interesse coletivo;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Causarem inexecução total do contrato;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Causarem atraso injustificado na execução ou entrega do objeto contratual;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e. Apresentarem documentação falsa ou prestarem declaração falsa durante a execução d</w:t>
      </w:r>
      <w:r>
        <w:rPr>
          <w:rFonts w:ascii="Arial" w:hAnsi="Arial" w:cs="Arial"/>
        </w:rPr>
        <w:t>o contrato;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f. Praticarem ato fraudulento na execução do contrato;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g. Comportarem-se de modo inidôneo ou cometerem fraude de qualquer natureza;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h. Praticarem ato lesivo previsto na Lei nº 12.846/2013 (Lei Anticorrupção).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sanções aplicáveis ao responsável por tais infrações são: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a. Advertência, nos casos de inexecução parcial do contrato quando não justificada penalidade mais grave (art. 156, §2º, da Lei nº 14.133/2021);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b. Impedimento de licitar e contratar, nos casos</w:t>
      </w:r>
      <w:r>
        <w:rPr>
          <w:rFonts w:ascii="Arial" w:hAnsi="Arial" w:cs="Arial"/>
        </w:rPr>
        <w:t xml:space="preserve"> de condutas descritas nas alíneas b, c e d acima, quando não justificada penalidade mais grave (art. 156, §4º, da Lei nº 14.133/2021); 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Declaração de inidoneidade para licitar e contratar, nos casos de condutas descritas nas alíneas e, f, g e h acima, </w:t>
      </w:r>
      <w:r>
        <w:rPr>
          <w:rFonts w:ascii="Arial" w:hAnsi="Arial" w:cs="Arial"/>
        </w:rPr>
        <w:t>bem como nas alíneas b, c e d quando justificarem penalidade mais grave (art. 156, §5º, da Lei nº 14.133/2021).</w:t>
      </w:r>
    </w:p>
    <w:p w:rsidR="00AF6D28" w:rsidRDefault="00B952E8">
      <w:pPr>
        <w:spacing w:beforeAutospacing="1" w:afterAutospacing="1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DÉCIMA SEGUNDA DOTAÇÃO ORÇAMENTÁRIA (art. 92, VIII)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12.1 As despesas decorrentes da presente contratação correrão à conta de recursos e</w:t>
      </w:r>
      <w:r>
        <w:rPr>
          <w:rFonts w:ascii="Arial" w:hAnsi="Arial" w:cs="Arial"/>
        </w:rPr>
        <w:t>specíficos consignados no Orçamento do município de Apiacás deste exercício, na dotação abaixo discriminada:</w:t>
      </w:r>
    </w:p>
    <w:tbl>
      <w:tblPr>
        <w:tblStyle w:val="TableNormal"/>
        <w:tblW w:w="9736" w:type="dxa"/>
        <w:tblInd w:w="15" w:type="dxa"/>
        <w:tblLayout w:type="fixed"/>
        <w:tblCellMar>
          <w:left w:w="5" w:type="dxa"/>
          <w:right w:w="5" w:type="dxa"/>
        </w:tblCellMar>
        <w:tblLook w:val="01E0"/>
      </w:tblPr>
      <w:tblGrid>
        <w:gridCol w:w="1277"/>
        <w:gridCol w:w="2016"/>
        <w:gridCol w:w="2792"/>
        <w:gridCol w:w="2292"/>
        <w:gridCol w:w="1359"/>
      </w:tblGrid>
      <w:tr w:rsidR="00AF6D28">
        <w:trPr>
          <w:trHeight w:val="7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LOCAL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FUNCIONAL    PROGRAMÁTICA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CATEGORIA ECONÔMICA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FONTE DE RECURSO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FICHA</w:t>
            </w:r>
          </w:p>
        </w:tc>
      </w:tr>
      <w:tr w:rsidR="00AF6D28">
        <w:trPr>
          <w:trHeight w:val="4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012001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01.031.0001.2001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pacing w:val="-2"/>
                <w:sz w:val="20"/>
                <w:lang w:val="en-US"/>
              </w:rPr>
              <w:t>3.3.90.36.00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</w:tr>
      <w:tr w:rsidR="00AF6D28">
        <w:trPr>
          <w:trHeight w:val="4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013001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01.031.0001.2001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  <w:lang w:val="en-US"/>
              </w:rPr>
              <w:t>3.3.90.39.00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28" w:rsidRDefault="00B952E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</w:tr>
    </w:tbl>
    <w:p w:rsidR="00AF6D28" w:rsidRDefault="00AF6D28">
      <w:pPr>
        <w:ind w:left="284"/>
        <w:rPr>
          <w:rFonts w:ascii="Arial" w:hAnsi="Arial" w:cs="Arial"/>
          <w:color w:val="FF0000"/>
        </w:rPr>
      </w:pPr>
      <w:r w:rsidRPr="00AF6D28">
        <w:pict/>
      </w:r>
      <w:r w:rsidRPr="00AF6D28">
        <w:pict>
          <v:shape id="Forma1" o:spid="_x0000_s1034" type="#_x0000_m1035" style="position:absolute;left:0;text-align:left;margin-left:0;margin-top:0;width:0;height:1.45pt;z-index:251654144;mso-wrap-style:none;mso-position-horizontal-relative:text;mso-position-vertical:top;mso-position-vertical-relative:text;v-text-anchor:middle" coordsize="" o:allowincell="f" path="m,l-127,r,-127l,-127xe" fillcolor="#a0a0a0" stroked="f" strokecolor="#3465a4">
            <v:fill color2="#5f5f5f" o:detectmouseclick="t" type="solid"/>
            <v:stroke joinstyle="round" endcap="flat"/>
          </v:shape>
        </w:pict>
      </w:r>
    </w:p>
    <w:p w:rsidR="00AF6D28" w:rsidRDefault="00B952E8">
      <w:pPr>
        <w:spacing w:beforeAutospacing="1" w:afterAutospacing="1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DÉCIMA TERCEIRA DA GERÊNCIA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13.1 – Para a Gerência deste Contrato, fica designado pela CÂMARA MUNICIPAL DE APIACÁS o Senhor Anderson Davi Maciel dos Santos, Assessor Jurídico, </w:t>
      </w:r>
      <w:r>
        <w:rPr>
          <w:rFonts w:ascii="Arial" w:hAnsi="Arial" w:cs="Arial"/>
        </w:rPr>
        <w:t xml:space="preserve">CPF nº 037.993.981-98, RG </w:t>
      </w:r>
      <w:r>
        <w:rPr>
          <w:rFonts w:ascii="Arial" w:hAnsi="Arial" w:cs="Arial"/>
        </w:rPr>
        <w:t>nº 2176498-0 SSP/MT</w:t>
      </w:r>
      <w:r>
        <w:rPr>
          <w:rFonts w:ascii="Arial" w:hAnsi="Arial" w:cs="Arial"/>
        </w:rPr>
        <w:t xml:space="preserve"> e pela CONTRATADA a empresa Imobiliária Alta Floresta – LTDA. inscrita no CNPJ nº 11.821.879/0001-59; a troca de correspondências entre as partes deverá ser feita utilizando-se os endereços constantes neste Contrato.</w:t>
      </w:r>
    </w:p>
    <w:p w:rsidR="00AF6D28" w:rsidRDefault="00AF6D28">
      <w:pPr>
        <w:ind w:left="284"/>
        <w:rPr>
          <w:rFonts w:ascii="Arial" w:hAnsi="Arial" w:cs="Arial"/>
        </w:rPr>
      </w:pPr>
      <w:r w:rsidRPr="00AF6D28">
        <w:pict/>
      </w:r>
      <w:r w:rsidRPr="00AF6D28">
        <w:pict>
          <v:shape id="Forma2" o:spid="_x0000_s1032" type="#_x0000_m1033" style="position:absolute;left:0;text-align:left;margin-left:0;margin-top:0;width:453.5pt;height:1.45pt;z-index:251656192;mso-wrap-style:none;mso-position-vertical:top;v-text-anchor:middle" coordsize="" o:allowincell="f" path="m,l-127,r,-127l,-127xe" fillcolor="#a0a0a0" stroked="f" strokecolor="#3465a4">
            <v:fill color2="#5f5f5f" o:detectmouseclick="t" type="solid"/>
            <v:stroke joinstyle="round" endcap="flat"/>
          </v:shape>
        </w:pict>
      </w:r>
    </w:p>
    <w:p w:rsidR="00AF6D28" w:rsidRDefault="00B952E8">
      <w:pPr>
        <w:spacing w:beforeAutospacing="1" w:afterAutospacing="1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 DÉCIMA </w:t>
      </w:r>
      <w:r>
        <w:rPr>
          <w:rFonts w:ascii="Arial" w:hAnsi="Arial" w:cs="Arial"/>
          <w:b/>
          <w:bCs/>
        </w:rPr>
        <w:t>QUARTA DOS CASOS OMISSOS (art. 92, III)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 casos omissos serão decididos pela CÂMARA MUNICIPAL DE APIACÁS, segundo as disposições contidas na Lei nº 14.133, de 2021, e demais normas federais e municipais aplicáveis e, subsidiariamente, segundo as disposiçõ</w:t>
      </w:r>
      <w:r>
        <w:rPr>
          <w:rFonts w:ascii="Arial" w:hAnsi="Arial" w:cs="Arial"/>
        </w:rPr>
        <w:t>es contidas na Lei nº 8.078, de 1990 – Código de Defesa do Consumidor – e normas e princípios gerais dos contratos.</w:t>
      </w:r>
    </w:p>
    <w:p w:rsidR="00AF6D28" w:rsidRDefault="00AF6D28">
      <w:pPr>
        <w:ind w:left="284"/>
        <w:rPr>
          <w:rFonts w:ascii="Arial" w:hAnsi="Arial" w:cs="Arial"/>
        </w:rPr>
      </w:pPr>
      <w:r w:rsidRPr="00AF6D28">
        <w:pict/>
      </w:r>
      <w:r w:rsidRPr="00AF6D28">
        <w:pict>
          <v:shape id="Forma3" o:spid="_x0000_s1030" type="#_x0000_m1031" style="position:absolute;left:0;text-align:left;margin-left:0;margin-top:0;width:453.5pt;height:1.45pt;z-index:251658240;mso-wrap-style:none;mso-position-vertical:top;v-text-anchor:middle" coordsize="" o:allowincell="f" path="m,l-127,r,-127l,-127xe" fillcolor="#a0a0a0" stroked="f" strokecolor="#3465a4">
            <v:fill color2="#5f5f5f" o:detectmouseclick="t" type="solid"/>
            <v:stroke joinstyle="round" endcap="flat"/>
          </v:shape>
        </w:pict>
      </w:r>
    </w:p>
    <w:p w:rsidR="00AF6D28" w:rsidRDefault="00B952E8">
      <w:pPr>
        <w:spacing w:beforeAutospacing="1" w:afterAutospacing="1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DÉCIMA QUINTA ALTERAÇÕES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Eventuais alterações contratuais reger-se-ão pela disciplina dos arts. 124 e seguintes da Lei nº 14.133</w:t>
      </w:r>
      <w:r>
        <w:rPr>
          <w:rFonts w:ascii="Arial" w:hAnsi="Arial" w:cs="Arial"/>
        </w:rPr>
        <w:t>, de 2021.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As alterações contratuais deverão</w:t>
      </w:r>
      <w:r>
        <w:rPr>
          <w:rFonts w:ascii="Arial" w:hAnsi="Arial" w:cs="Arial"/>
        </w:rPr>
        <w:t xml:space="preserve"> ser promovidas mediante celebração de termo aditivo, submetido à prévia aprovação da consultoria jurídica da CÂMARA MUNICIPAL DE APIACÁS, salvo nos casos de justificada necessidade de antecipação de seus efeitos, hipótese em que a formalização do aditivo </w:t>
      </w:r>
      <w:r>
        <w:rPr>
          <w:rFonts w:ascii="Arial" w:hAnsi="Arial" w:cs="Arial"/>
        </w:rPr>
        <w:t>deverá ocorrer no prazo máximo de 1 (um) mês (art. 132 da Lei nº 14.133, de 2021).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Registros que não caracterizam alteração do contrato podem ser realizados por simples apostila, dispensada a celebração de termo aditivo, na forma do art. 136 da Lei nº 14.1</w:t>
      </w:r>
      <w:r>
        <w:rPr>
          <w:rFonts w:ascii="Arial" w:hAnsi="Arial" w:cs="Arial"/>
        </w:rPr>
        <w:t>33, de 2021.</w:t>
      </w:r>
    </w:p>
    <w:p w:rsidR="00AF6D28" w:rsidRDefault="00AF6D28">
      <w:pPr>
        <w:ind w:left="284"/>
        <w:jc w:val="both"/>
        <w:rPr>
          <w:rFonts w:ascii="Arial" w:hAnsi="Arial" w:cs="Arial"/>
        </w:rPr>
      </w:pPr>
      <w:r w:rsidRPr="00AF6D28">
        <w:pict/>
      </w:r>
      <w:r w:rsidRPr="00AF6D28">
        <w:pict>
          <v:shape id="Forma4" o:spid="_x0000_s1028" type="#_x0000_m1029" style="position:absolute;left:0;text-align:left;margin-left:0;margin-top:0;width:453.5pt;height:1.45pt;z-index:251660288;mso-wrap-style:none;mso-position-vertical:top;v-text-anchor:middle" coordsize="" o:allowincell="f" path="m,l-127,r,-127l,-127xe" fillcolor="#a0a0a0" stroked="f" strokecolor="#3465a4">
            <v:fill color2="#5f5f5f" o:detectmouseclick="t" type="solid"/>
            <v:stroke joinstyle="round" endcap="flat"/>
          </v:shape>
        </w:pict>
      </w:r>
    </w:p>
    <w:p w:rsidR="00AF6D28" w:rsidRDefault="00B952E8">
      <w:pPr>
        <w:spacing w:beforeAutospacing="1" w:afterAutospacing="1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DÉCIMA SEXTA PUBLICAÇÃO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Incumbirá à CÂMARA MUNICIPAL DE APIACÁS divulgar o presente instrumento no respectivo sítio oficial na Internet, em atenção ao art. 91, caput, da Lei n.º 14.133, de 2021, e ao art. 8º, §2º, da Lei n. 12.527,</w:t>
      </w:r>
      <w:r>
        <w:rPr>
          <w:rFonts w:ascii="Arial" w:hAnsi="Arial" w:cs="Arial"/>
        </w:rPr>
        <w:t xml:space="preserve"> de 2011.</w:t>
      </w:r>
    </w:p>
    <w:p w:rsidR="00AF6D28" w:rsidRDefault="00AF6D28">
      <w:pPr>
        <w:ind w:left="284"/>
        <w:rPr>
          <w:rFonts w:ascii="Arial" w:hAnsi="Arial" w:cs="Arial"/>
        </w:rPr>
      </w:pPr>
      <w:r w:rsidRPr="00AF6D28">
        <w:pict/>
      </w:r>
      <w:r w:rsidRPr="00AF6D28">
        <w:pict>
          <v:shape id="Forma5" o:spid="_x0000_s1026" type="#_x0000_m1027" style="position:absolute;left:0;text-align:left;margin-left:0;margin-top:0;width:453.5pt;height:1.45pt;z-index:251662336;mso-wrap-style:none;mso-position-vertical:top;v-text-anchor:middle" coordsize="" o:allowincell="f" path="m,l-127,r,-127l,-127xe" fillcolor="#a0a0a0" stroked="f" strokecolor="#3465a4">
            <v:fill color2="#5f5f5f" o:detectmouseclick="t" type="solid"/>
            <v:stroke joinstyle="round" endcap="flat"/>
          </v:shape>
        </w:pict>
      </w:r>
    </w:p>
    <w:p w:rsidR="00AF6D28" w:rsidRDefault="00B952E8">
      <w:pPr>
        <w:spacing w:beforeAutospacing="1" w:afterAutospacing="1"/>
        <w:ind w:left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 DÉCIMA SÉTIMA FORO (art. 92, §1º)</w:t>
      </w:r>
    </w:p>
    <w:p w:rsidR="00AF6D28" w:rsidRDefault="00B952E8">
      <w:pPr>
        <w:spacing w:beforeAutospacing="1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Será competente o Foro da Comarca de Apiacás, que as partes elegem para qualquer procedimento relacionado com o cumprimento do presente contrato.</w:t>
      </w:r>
    </w:p>
    <w:p w:rsidR="00AF6D28" w:rsidRDefault="00B952E8">
      <w:pPr>
        <w:pStyle w:val="PargrafodaLista"/>
        <w:numPr>
          <w:ilvl w:val="0"/>
          <w:numId w:val="8"/>
        </w:numPr>
        <w:spacing w:beforeAutospacing="1" w:afterAutospacing="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E, por estarem ambas as partes de pleno acordo com as </w:t>
      </w:r>
      <w:r>
        <w:rPr>
          <w:rFonts w:ascii="Arial" w:hAnsi="Arial" w:cs="Arial"/>
        </w:rPr>
        <w:t>disposições estabelecidas neste Contrato, aceitam a cumprirem fielmente as normas legais e regulamentares, assinam o presente em 03 (três) vias de igual efeito e teor, na presença de duas testemunhas, reconhecendo as partes a autenticidade, integridade e v</w:t>
      </w:r>
      <w:r>
        <w:rPr>
          <w:rFonts w:ascii="Arial" w:hAnsi="Arial" w:cs="Arial"/>
        </w:rPr>
        <w:t>alidade jurídica deste documento em forma eletrônica, nos termos da MP nº 2.200-2, de 24 de agosto de 2001 (MP nº 2.220-2) e que este instrumento poderá ser assinado mediante a utilização de assinatura digital com certificado emitido no padrão ICP-Brasil o</w:t>
      </w:r>
      <w:r>
        <w:rPr>
          <w:rFonts w:ascii="Arial" w:hAnsi="Arial" w:cs="Arial"/>
        </w:rPr>
        <w:t>u assinatura eletrônica, em conformidade com as disposições do §2º do artigo 10 da MP nº 2.220-2 sendo, em qualquer uma das hipóteses, plenamente válida e aceita pelas partes.</w:t>
      </w:r>
    </w:p>
    <w:p w:rsidR="00AF6D28" w:rsidRDefault="00AF6D28">
      <w:pPr>
        <w:pStyle w:val="PargrafodaLista"/>
        <w:spacing w:beforeAutospacing="1" w:afterAutospacing="1"/>
        <w:ind w:left="644"/>
        <w:rPr>
          <w:rFonts w:ascii="Arial" w:hAnsi="Arial" w:cs="Arial"/>
        </w:rPr>
      </w:pPr>
    </w:p>
    <w:p w:rsidR="00AF6D28" w:rsidRDefault="00B952E8">
      <w:pPr>
        <w:spacing w:beforeAutospacing="1" w:afterAutospacing="1"/>
        <w:ind w:left="284"/>
        <w:jc w:val="right"/>
        <w:rPr>
          <w:shd w:val="clear" w:color="auto" w:fill="FFFF00"/>
        </w:rPr>
      </w:pPr>
      <w:r w:rsidRPr="001322E1">
        <w:rPr>
          <w:rFonts w:ascii="Arial" w:hAnsi="Arial" w:cs="Arial"/>
        </w:rPr>
        <w:t xml:space="preserve">Apiacás – MT , </w:t>
      </w:r>
      <w:r w:rsidR="001322E1">
        <w:rPr>
          <w:rFonts w:ascii="Arial" w:hAnsi="Arial" w:cs="Arial"/>
        </w:rPr>
        <w:t>02 de Julho</w:t>
      </w:r>
      <w:r w:rsidRPr="001322E1">
        <w:rPr>
          <w:rFonts w:ascii="Arial" w:hAnsi="Arial" w:cs="Arial"/>
        </w:rPr>
        <w:t xml:space="preserve"> de 2024</w:t>
      </w:r>
    </w:p>
    <w:p w:rsidR="00AF6D28" w:rsidRDefault="00AF6D28">
      <w:pPr>
        <w:spacing w:beforeAutospacing="1" w:afterAutospacing="1"/>
        <w:ind w:left="284"/>
        <w:jc w:val="right"/>
        <w:rPr>
          <w:rFonts w:ascii="Arial" w:hAnsi="Arial" w:cs="Arial"/>
        </w:rPr>
      </w:pPr>
    </w:p>
    <w:p w:rsidR="00AF6D28" w:rsidRDefault="00AF6D28">
      <w:pPr>
        <w:spacing w:beforeAutospacing="1" w:afterAutospacing="1"/>
        <w:ind w:left="284"/>
        <w:jc w:val="right"/>
        <w:rPr>
          <w:rFonts w:ascii="Arial" w:hAnsi="Arial" w:cs="Arial"/>
        </w:rPr>
      </w:pPr>
    </w:p>
    <w:p w:rsidR="00AF6D28" w:rsidRDefault="00B952E8">
      <w:pPr>
        <w:jc w:val="center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t>CÂMARA MUNICIPAL DE APIACÁS-MT</w:t>
      </w:r>
    </w:p>
    <w:p w:rsidR="00AF6D28" w:rsidRDefault="00B952E8">
      <w:pPr>
        <w:jc w:val="center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t>Valdomiro Nunes Bernardes</w:t>
      </w:r>
    </w:p>
    <w:p w:rsidR="00AF6D28" w:rsidRDefault="00B952E8">
      <w:pPr>
        <w:jc w:val="center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Presidente da Câmara Municipal de Vereadores</w:t>
      </w:r>
    </w:p>
    <w:p w:rsidR="00AF6D28" w:rsidRDefault="00AF6D28">
      <w:pPr>
        <w:spacing w:beforeAutospacing="1" w:afterAutospacing="1"/>
        <w:ind w:left="360"/>
        <w:rPr>
          <w:rFonts w:ascii="Arial" w:hAnsi="Arial" w:cs="Arial"/>
        </w:rPr>
      </w:pPr>
    </w:p>
    <w:p w:rsidR="00AF6D28" w:rsidRDefault="00AF6D28">
      <w:pPr>
        <w:spacing w:beforeAutospacing="1" w:afterAutospacing="1"/>
        <w:ind w:left="360"/>
        <w:rPr>
          <w:rFonts w:ascii="Arial" w:hAnsi="Arial" w:cs="Arial"/>
        </w:rPr>
      </w:pPr>
    </w:p>
    <w:p w:rsidR="00AF6D28" w:rsidRDefault="00B952E8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IMOBILIÁRIA ALTA FLORESTA - LTDA</w:t>
      </w:r>
    </w:p>
    <w:p w:rsidR="00AF6D28" w:rsidRDefault="00B952E8">
      <w:pPr>
        <w:jc w:val="center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</w:rPr>
        <w:t>CNPJ Nº 11.821.879/0001-59</w:t>
      </w:r>
    </w:p>
    <w:p w:rsidR="00AF6D28" w:rsidRDefault="00B952E8">
      <w:pPr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Representante – CPF Nº 229.640.881-87</w:t>
      </w:r>
    </w:p>
    <w:p w:rsidR="00AF6D28" w:rsidRDefault="00B952E8">
      <w:pPr>
        <w:jc w:val="center"/>
        <w:rPr>
          <w:rFonts w:ascii="Arial" w:eastAsia="Calibri" w:hAnsi="Arial" w:cs="Arial"/>
          <w:bCs/>
          <w:iCs/>
        </w:rPr>
      </w:pPr>
      <w:r>
        <w:rPr>
          <w:rFonts w:ascii="Arial" w:eastAsia="Calibri" w:hAnsi="Arial" w:cs="Arial"/>
        </w:rPr>
        <w:t>CONTRATADA</w:t>
      </w: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B952E8">
      <w:pPr>
        <w:tabs>
          <w:tab w:val="left" w:pos="3525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Testemunhas:</w:t>
      </w:r>
    </w:p>
    <w:p w:rsidR="00AF6D28" w:rsidRDefault="00B952E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___________________________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_____________________________</w:t>
      </w:r>
    </w:p>
    <w:p w:rsidR="00AF6D28" w:rsidRDefault="00AF6D28">
      <w:pPr>
        <w:jc w:val="both"/>
        <w:rPr>
          <w:rFonts w:ascii="Arial" w:eastAsia="Calibri" w:hAnsi="Arial" w:cs="Arial"/>
          <w:b/>
          <w:bCs/>
        </w:rPr>
      </w:pPr>
    </w:p>
    <w:p w:rsidR="00AF6D28" w:rsidRDefault="00AF6D28">
      <w:pPr>
        <w:spacing w:beforeAutospacing="1" w:afterAutospacing="1"/>
        <w:ind w:left="1080"/>
        <w:jc w:val="both"/>
        <w:rPr>
          <w:rFonts w:ascii="Arial" w:hAnsi="Arial" w:cs="Arial"/>
        </w:rPr>
      </w:pPr>
    </w:p>
    <w:p w:rsidR="00AF6D28" w:rsidRDefault="00AF6D28"/>
    <w:sectPr w:rsidR="00AF6D28" w:rsidSect="00AF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E8" w:rsidRDefault="00B952E8" w:rsidP="00AF6D28">
      <w:r>
        <w:separator/>
      </w:r>
    </w:p>
  </w:endnote>
  <w:endnote w:type="continuationSeparator" w:id="0">
    <w:p w:rsidR="00B952E8" w:rsidRDefault="00B952E8" w:rsidP="00AF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28" w:rsidRDefault="00AF6D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28" w:rsidRDefault="00B952E8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Av. Ludovico da Riva Neto, 206 – centro – 78.595-000 – Apiacás MT</w:t>
    </w:r>
  </w:p>
  <w:p w:rsidR="00AF6D28" w:rsidRDefault="00B952E8">
    <w:pPr>
      <w:pStyle w:val="Footer"/>
      <w:jc w:val="center"/>
    </w:pPr>
    <w:r>
      <w:rPr>
        <w:sz w:val="18"/>
        <w:szCs w:val="18"/>
      </w:rPr>
      <w:t>(66) 3593-1504 e-mail: camara.apiacas@hotmail.com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28" w:rsidRDefault="00B952E8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Av. Ludovico da Riva Neto, 206 – centro – 78.595-000 – Apiacás MT</w:t>
    </w:r>
  </w:p>
  <w:p w:rsidR="00AF6D28" w:rsidRDefault="00B952E8">
    <w:pPr>
      <w:pStyle w:val="Footer"/>
      <w:jc w:val="center"/>
    </w:pPr>
    <w:r>
      <w:rPr>
        <w:sz w:val="18"/>
        <w:szCs w:val="18"/>
      </w:rPr>
      <w:t>(66) 3593-1504 e-mail: camara.apiacas@hotmail.com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E8" w:rsidRDefault="00B952E8" w:rsidP="00AF6D28">
      <w:r>
        <w:separator/>
      </w:r>
    </w:p>
  </w:footnote>
  <w:footnote w:type="continuationSeparator" w:id="0">
    <w:p w:rsidR="00B952E8" w:rsidRDefault="00B952E8" w:rsidP="00AF6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28" w:rsidRDefault="00AF6D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28" w:rsidRDefault="00B952E8">
    <w:pPr>
      <w:pStyle w:val="Header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-10160</wp:posOffset>
          </wp:positionV>
          <wp:extent cx="886460" cy="826135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CÂMARA MUNICIPAL DE APIACÁS</w:t>
    </w:r>
  </w:p>
  <w:p w:rsidR="00AF6D28" w:rsidRDefault="00B952E8">
    <w:pPr>
      <w:pStyle w:val="Header"/>
      <w:tabs>
        <w:tab w:val="left" w:pos="2385"/>
      </w:tabs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Estado de Mato Grosso</w:t>
    </w:r>
  </w:p>
  <w:p w:rsidR="00AF6D28" w:rsidRDefault="00B952E8">
    <w:pPr>
      <w:pStyle w:val="Header"/>
      <w:jc w:val="center"/>
      <w:rPr>
        <w:rFonts w:ascii="Arial" w:hAnsi="Arial" w:cs="Arial"/>
        <w:b/>
      </w:rPr>
    </w:pPr>
    <w:r>
      <w:rPr>
        <w:rFonts w:ascii="Tahoma" w:hAnsi="Tahoma" w:cs="Tahoma"/>
        <w:b/>
        <w:bCs/>
      </w:rPr>
      <w:t>Gestão: 2023-2024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28" w:rsidRDefault="00B952E8">
    <w:pPr>
      <w:pStyle w:val="Header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-10160</wp:posOffset>
          </wp:positionV>
          <wp:extent cx="886460" cy="826135"/>
          <wp:effectExtent l="0" t="0" r="0" b="0"/>
          <wp:wrapNone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CÂMARA MUNICIPAL DE APIACÁS</w:t>
    </w:r>
  </w:p>
  <w:p w:rsidR="00AF6D28" w:rsidRDefault="00B952E8">
    <w:pPr>
      <w:pStyle w:val="Header"/>
      <w:tabs>
        <w:tab w:val="left" w:pos="2385"/>
      </w:tabs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Estado de Mato Grosso</w:t>
    </w:r>
  </w:p>
  <w:p w:rsidR="00AF6D28" w:rsidRDefault="00B952E8">
    <w:pPr>
      <w:pStyle w:val="Header"/>
      <w:jc w:val="center"/>
      <w:rPr>
        <w:rFonts w:ascii="Arial" w:hAnsi="Arial" w:cs="Arial"/>
        <w:b/>
      </w:rPr>
    </w:pPr>
    <w:r>
      <w:rPr>
        <w:rFonts w:ascii="Tahoma" w:hAnsi="Tahoma" w:cs="Tahoma"/>
        <w:b/>
        <w:bCs/>
      </w:rPr>
      <w:t>Gestão: 2023-2024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273"/>
    <w:multiLevelType w:val="multilevel"/>
    <w:tmpl w:val="279C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97BAE"/>
    <w:multiLevelType w:val="multilevel"/>
    <w:tmpl w:val="1CF6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A4F4F"/>
    <w:multiLevelType w:val="multilevel"/>
    <w:tmpl w:val="8606285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F3E4394"/>
    <w:multiLevelType w:val="multilevel"/>
    <w:tmpl w:val="AA7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B743319"/>
    <w:multiLevelType w:val="multilevel"/>
    <w:tmpl w:val="E808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D3208"/>
    <w:multiLevelType w:val="multilevel"/>
    <w:tmpl w:val="41D63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E48071A"/>
    <w:multiLevelType w:val="multilevel"/>
    <w:tmpl w:val="31CA8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77164B7A"/>
    <w:multiLevelType w:val="multilevel"/>
    <w:tmpl w:val="B314B8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2C1CAF"/>
    <w:multiLevelType w:val="multilevel"/>
    <w:tmpl w:val="155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D28"/>
    <w:rsid w:val="001322E1"/>
    <w:rsid w:val="00AF6D28"/>
    <w:rsid w:val="00B9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932C70"/>
    <w:pPr>
      <w:keepNext/>
      <w:jc w:val="center"/>
      <w:outlineLvl w:val="0"/>
    </w:pPr>
    <w:rPr>
      <w:rFonts w:ascii="Courier New" w:hAnsi="Courier New"/>
      <w:b/>
      <w:bCs/>
      <w:sz w:val="36"/>
      <w:szCs w:val="36"/>
      <w:u w:val="single"/>
    </w:rPr>
  </w:style>
  <w:style w:type="paragraph" w:customStyle="1" w:styleId="Heading2">
    <w:name w:val="Heading 2"/>
    <w:basedOn w:val="Normal"/>
    <w:next w:val="Normal"/>
    <w:link w:val="Ttulo2Char"/>
    <w:uiPriority w:val="9"/>
    <w:qFormat/>
    <w:rsid w:val="00932C70"/>
    <w:pPr>
      <w:keepNext/>
      <w:outlineLvl w:val="1"/>
    </w:pPr>
    <w:rPr>
      <w:sz w:val="28"/>
    </w:rPr>
  </w:style>
  <w:style w:type="paragraph" w:customStyle="1" w:styleId="Heading3">
    <w:name w:val="Heading 3"/>
    <w:basedOn w:val="Normal"/>
    <w:next w:val="Normal"/>
    <w:link w:val="Ttulo3Char"/>
    <w:uiPriority w:val="9"/>
    <w:unhideWhenUsed/>
    <w:qFormat/>
    <w:rsid w:val="009757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"/>
    <w:next w:val="Normal"/>
    <w:link w:val="Ttulo4Char"/>
    <w:uiPriority w:val="9"/>
    <w:unhideWhenUsed/>
    <w:qFormat/>
    <w:rsid w:val="00370A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qFormat/>
    <w:rsid w:val="00932C70"/>
    <w:pPr>
      <w:keepNext/>
      <w:tabs>
        <w:tab w:val="left" w:pos="4253"/>
      </w:tabs>
      <w:jc w:val="both"/>
      <w:outlineLvl w:val="4"/>
    </w:pPr>
    <w:rPr>
      <w:szCs w:val="20"/>
    </w:rPr>
  </w:style>
  <w:style w:type="paragraph" w:customStyle="1" w:styleId="Heading6">
    <w:name w:val="Heading 6"/>
    <w:basedOn w:val="Normal"/>
    <w:next w:val="Normal"/>
    <w:link w:val="Ttulo6Char"/>
    <w:uiPriority w:val="9"/>
    <w:qFormat/>
    <w:rsid w:val="00932C70"/>
    <w:pPr>
      <w:keepNext/>
      <w:tabs>
        <w:tab w:val="left" w:pos="7660"/>
      </w:tabs>
      <w:jc w:val="center"/>
      <w:outlineLvl w:val="5"/>
    </w:pPr>
    <w:rPr>
      <w:b/>
      <w:bCs/>
      <w:sz w:val="28"/>
    </w:rPr>
  </w:style>
  <w:style w:type="paragraph" w:customStyle="1" w:styleId="Heading7">
    <w:name w:val="Heading 7"/>
    <w:basedOn w:val="Normal"/>
    <w:next w:val="Normal"/>
    <w:link w:val="Ttulo7Char"/>
    <w:uiPriority w:val="9"/>
    <w:qFormat/>
    <w:rsid w:val="00932C70"/>
    <w:pPr>
      <w:keepNext/>
      <w:jc w:val="both"/>
      <w:outlineLvl w:val="6"/>
    </w:pPr>
    <w:rPr>
      <w:b/>
      <w:bCs/>
      <w:sz w:val="28"/>
    </w:rPr>
  </w:style>
  <w:style w:type="paragraph" w:customStyle="1" w:styleId="Heading8">
    <w:name w:val="Heading 8"/>
    <w:basedOn w:val="Normal"/>
    <w:next w:val="Normal"/>
    <w:link w:val="Ttulo8Char"/>
    <w:uiPriority w:val="9"/>
    <w:qFormat/>
    <w:rsid w:val="00932C70"/>
    <w:pPr>
      <w:keepNext/>
      <w:outlineLvl w:val="7"/>
    </w:pPr>
    <w:rPr>
      <w:color w:val="000080"/>
      <w:sz w:val="28"/>
    </w:rPr>
  </w:style>
  <w:style w:type="paragraph" w:customStyle="1" w:styleId="Heading9">
    <w:name w:val="Heading 9"/>
    <w:basedOn w:val="Normal"/>
    <w:next w:val="Normal"/>
    <w:link w:val="Ttulo9Char"/>
    <w:uiPriority w:val="9"/>
    <w:qFormat/>
    <w:rsid w:val="00932C70"/>
    <w:pPr>
      <w:keepNext/>
      <w:jc w:val="center"/>
      <w:outlineLvl w:val="8"/>
    </w:pPr>
    <w:rPr>
      <w:b/>
      <w:bCs/>
      <w:sz w:val="36"/>
    </w:rPr>
  </w:style>
  <w:style w:type="character" w:customStyle="1" w:styleId="Ttulo1Char">
    <w:name w:val="Título 1 Char"/>
    <w:basedOn w:val="Fontepargpadro"/>
    <w:link w:val="Heading1"/>
    <w:uiPriority w:val="9"/>
    <w:qFormat/>
    <w:rsid w:val="00932C70"/>
    <w:rPr>
      <w:rFonts w:ascii="Courier New" w:eastAsia="Times New Roman" w:hAnsi="Courier New" w:cs="Times New Roman"/>
      <w:b/>
      <w:bCs/>
      <w:sz w:val="36"/>
      <w:szCs w:val="36"/>
      <w:u w:val="single"/>
    </w:rPr>
  </w:style>
  <w:style w:type="character" w:customStyle="1" w:styleId="Ttulo2Char">
    <w:name w:val="Título 2 Char"/>
    <w:basedOn w:val="Fontepargpadro"/>
    <w:link w:val="Heading2"/>
    <w:uiPriority w:val="9"/>
    <w:qFormat/>
    <w:rsid w:val="00932C70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3Char">
    <w:name w:val="Título 3 Char"/>
    <w:basedOn w:val="Fontepargpadro"/>
    <w:link w:val="Heading3"/>
    <w:uiPriority w:val="9"/>
    <w:qFormat/>
    <w:rsid w:val="009757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Heading4"/>
    <w:uiPriority w:val="9"/>
    <w:qFormat/>
    <w:rsid w:val="00370A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Heading5"/>
    <w:uiPriority w:val="9"/>
    <w:qFormat/>
    <w:rsid w:val="00932C70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Heading6"/>
    <w:uiPriority w:val="9"/>
    <w:qFormat/>
    <w:rsid w:val="00932C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7Char">
    <w:name w:val="Título 7 Char"/>
    <w:basedOn w:val="Fontepargpadro"/>
    <w:link w:val="Heading7"/>
    <w:uiPriority w:val="9"/>
    <w:qFormat/>
    <w:rsid w:val="00932C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8Char">
    <w:name w:val="Título 8 Char"/>
    <w:basedOn w:val="Fontepargpadro"/>
    <w:link w:val="Heading8"/>
    <w:uiPriority w:val="9"/>
    <w:qFormat/>
    <w:rsid w:val="00932C70"/>
    <w:rPr>
      <w:rFonts w:ascii="Times New Roman" w:eastAsia="Times New Roman" w:hAnsi="Times New Roman" w:cs="Times New Roman"/>
      <w:color w:val="000080"/>
      <w:sz w:val="28"/>
      <w:szCs w:val="24"/>
    </w:rPr>
  </w:style>
  <w:style w:type="character" w:customStyle="1" w:styleId="Ttulo9Char">
    <w:name w:val="Título 9 Char"/>
    <w:basedOn w:val="Fontepargpadro"/>
    <w:link w:val="Heading9"/>
    <w:uiPriority w:val="9"/>
    <w:qFormat/>
    <w:rsid w:val="00932C70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uiPriority w:val="99"/>
    <w:qFormat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9757D3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9757D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70AC9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Char">
    <w:name w:val="Título Char"/>
    <w:basedOn w:val="Fontepargpadro"/>
    <w:link w:val="Ttulo"/>
    <w:qFormat/>
    <w:rsid w:val="00370AC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qFormat/>
    <w:rsid w:val="002F6C72"/>
    <w:rPr>
      <w:color w:val="808080"/>
    </w:rPr>
  </w:style>
  <w:style w:type="character" w:styleId="nfase">
    <w:name w:val="Emphasis"/>
    <w:uiPriority w:val="20"/>
    <w:qFormat/>
    <w:rsid w:val="007379BC"/>
    <w:rPr>
      <w:i/>
      <w:iCs/>
    </w:rPr>
  </w:style>
  <w:style w:type="character" w:customStyle="1" w:styleId="Corpodetexto3Char">
    <w:name w:val="Corpo de texto 3 Char"/>
    <w:basedOn w:val="Fontepargpadro"/>
    <w:link w:val="Corpodetexto3"/>
    <w:qFormat/>
    <w:rsid w:val="00932C70"/>
    <w:rPr>
      <w:rFonts w:ascii="Courier New" w:eastAsia="Times New Roman" w:hAnsi="Courier New" w:cs="Courier New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32C70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932C7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932C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rsid w:val="00932C70"/>
    <w:rPr>
      <w:color w:val="800080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sid w:val="00932C70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uiPriority w:val="99"/>
    <w:rsid w:val="00932C70"/>
    <w:rPr>
      <w:color w:val="0000FF"/>
      <w:u w:val="single"/>
    </w:rPr>
  </w:style>
  <w:style w:type="character" w:customStyle="1" w:styleId="t11">
    <w:name w:val="t11"/>
    <w:qFormat/>
    <w:rsid w:val="00932C70"/>
    <w:rPr>
      <w:b/>
      <w:bCs/>
    </w:rPr>
  </w:style>
  <w:style w:type="character" w:customStyle="1" w:styleId="CitaoChar">
    <w:name w:val="Citação Char"/>
    <w:link w:val="Citao"/>
    <w:uiPriority w:val="29"/>
    <w:qFormat/>
    <w:rsid w:val="00932C70"/>
    <w:rPr>
      <w:rFonts w:ascii="Calibri" w:eastAsia="Calibri" w:hAnsi="Calibri"/>
      <w:i/>
      <w:sz w:val="24"/>
      <w:szCs w:val="24"/>
      <w:lang w:val="en-US" w:bidi="en-US"/>
    </w:rPr>
  </w:style>
  <w:style w:type="character" w:customStyle="1" w:styleId="CitaoChar1">
    <w:name w:val="Citação Char1"/>
    <w:basedOn w:val="Fontepargpadro"/>
    <w:uiPriority w:val="29"/>
    <w:qFormat/>
    <w:rsid w:val="00932C7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customStyle="1" w:styleId="CitaoIntensaChar">
    <w:name w:val="Citação Intensa Char"/>
    <w:link w:val="CitaoIntensa"/>
    <w:uiPriority w:val="30"/>
    <w:qFormat/>
    <w:rsid w:val="00932C70"/>
    <w:rPr>
      <w:rFonts w:ascii="Calibri" w:eastAsia="Calibri" w:hAnsi="Calibri"/>
      <w:b/>
      <w:i/>
      <w:sz w:val="24"/>
      <w:lang w:val="en-US" w:bidi="en-US"/>
    </w:rPr>
  </w:style>
  <w:style w:type="character" w:customStyle="1" w:styleId="CitaoIntensaChar1">
    <w:name w:val="Citação Intensa Char1"/>
    <w:basedOn w:val="Fontepargpadro"/>
    <w:uiPriority w:val="30"/>
    <w:qFormat/>
    <w:rsid w:val="00932C70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t-BR"/>
    </w:rPr>
  </w:style>
  <w:style w:type="character" w:styleId="nfaseSutil">
    <w:name w:val="Subtle Emphasis"/>
    <w:uiPriority w:val="19"/>
    <w:qFormat/>
    <w:rsid w:val="00932C70"/>
    <w:rPr>
      <w:i/>
      <w:color w:val="5A5A5A"/>
    </w:rPr>
  </w:style>
  <w:style w:type="character" w:customStyle="1" w:styleId="TextodebaloChar">
    <w:name w:val="Texto de balão Char"/>
    <w:basedOn w:val="Fontepargpadro"/>
    <w:link w:val="Textodebalo"/>
    <w:qFormat/>
    <w:rsid w:val="00932C70"/>
    <w:rPr>
      <w:rFonts w:ascii="Tahoma" w:eastAsia="Times New Roman" w:hAnsi="Tahoma" w:cs="Times New Roman"/>
      <w:sz w:val="16"/>
      <w:szCs w:val="16"/>
    </w:rPr>
  </w:style>
  <w:style w:type="character" w:styleId="MquinadeescreverHTML">
    <w:name w:val="HTML Typewriter"/>
    <w:uiPriority w:val="99"/>
    <w:unhideWhenUsed/>
    <w:qFormat/>
    <w:rsid w:val="00932C70"/>
    <w:rPr>
      <w:rFonts w:ascii="Courier New" w:eastAsia="Times New Roman" w:hAnsi="Courier New" w:cs="Courier New"/>
      <w:sz w:val="20"/>
      <w:szCs w:val="20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A3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66CA"/>
    <w:rPr>
      <w:b/>
      <w:bCs/>
    </w:rPr>
  </w:style>
  <w:style w:type="paragraph" w:styleId="Ttulo">
    <w:name w:val="Title"/>
    <w:basedOn w:val="Normal"/>
    <w:next w:val="Subttulo"/>
    <w:link w:val="TtuloChar"/>
    <w:qFormat/>
    <w:rsid w:val="00370AC9"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Corpodetexto">
    <w:name w:val="Body Text"/>
    <w:basedOn w:val="Normal"/>
    <w:link w:val="CorpodetextoChar"/>
    <w:rsid w:val="009757D3"/>
    <w:pPr>
      <w:spacing w:after="120"/>
    </w:pPr>
    <w:rPr>
      <w:rFonts w:ascii="Arial" w:hAnsi="Arial" w:cs="Arial"/>
      <w:szCs w:val="20"/>
    </w:rPr>
  </w:style>
  <w:style w:type="paragraph" w:styleId="Lista">
    <w:name w:val="List"/>
    <w:basedOn w:val="Corpodetexto"/>
    <w:rsid w:val="00AF6D28"/>
  </w:style>
  <w:style w:type="paragraph" w:customStyle="1" w:styleId="Caption">
    <w:name w:val="Caption"/>
    <w:basedOn w:val="Normal"/>
    <w:qFormat/>
    <w:rsid w:val="00AF6D28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AF6D28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AF6D28"/>
  </w:style>
  <w:style w:type="paragraph" w:customStyle="1" w:styleId="Header">
    <w:name w:val="Header"/>
    <w:basedOn w:val="Normal"/>
    <w:link w:val="CabealhoChar"/>
    <w:uiPriority w:val="99"/>
    <w:rsid w:val="009757D3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9757D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1"/>
    <w:qFormat/>
    <w:rsid w:val="009757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qFormat/>
    <w:rsid w:val="009757D3"/>
    <w:pPr>
      <w:spacing w:after="120"/>
      <w:ind w:left="283"/>
    </w:pPr>
    <w:rPr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AC9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Corpodetexto31">
    <w:name w:val="Corpo de texto 31"/>
    <w:basedOn w:val="Normal"/>
    <w:qFormat/>
    <w:rsid w:val="00932C70"/>
    <w:pPr>
      <w:widowControl w:val="0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qFormat/>
    <w:rsid w:val="00932C70"/>
    <w:pPr>
      <w:spacing w:beforeAutospacing="1" w:afterAutospacing="1"/>
    </w:pPr>
  </w:style>
  <w:style w:type="paragraph" w:styleId="Corpodetexto3">
    <w:name w:val="Body Text 3"/>
    <w:basedOn w:val="Normal"/>
    <w:link w:val="Corpodetexto3Char"/>
    <w:qFormat/>
    <w:rsid w:val="00932C70"/>
    <w:pPr>
      <w:widowControl w:val="0"/>
    </w:pPr>
    <w:rPr>
      <w:rFonts w:ascii="Courier New" w:hAnsi="Courier New" w:cs="Courier New"/>
      <w:sz w:val="20"/>
    </w:rPr>
  </w:style>
  <w:style w:type="paragraph" w:styleId="Recuodecorpodetexto">
    <w:name w:val="Body Text Indent"/>
    <w:basedOn w:val="Normal"/>
    <w:link w:val="RecuodecorpodetextoChar"/>
    <w:rsid w:val="00932C70"/>
    <w:pPr>
      <w:ind w:firstLine="708"/>
      <w:jc w:val="both"/>
    </w:pPr>
    <w:rPr>
      <w:sz w:val="28"/>
    </w:rPr>
  </w:style>
  <w:style w:type="paragraph" w:styleId="Corpodetexto2">
    <w:name w:val="Body Text 2"/>
    <w:basedOn w:val="Normal"/>
    <w:link w:val="Corpodetexto2Char"/>
    <w:qFormat/>
    <w:rsid w:val="00932C70"/>
    <w:pPr>
      <w:tabs>
        <w:tab w:val="left" w:pos="9164"/>
      </w:tabs>
      <w:jc w:val="both"/>
    </w:pPr>
    <w:rPr>
      <w:sz w:val="28"/>
    </w:rPr>
  </w:style>
  <w:style w:type="paragraph" w:styleId="Recuodecorpodetexto2">
    <w:name w:val="Body Text Indent 2"/>
    <w:basedOn w:val="Normal"/>
    <w:link w:val="Recuodecorpodetexto2Char"/>
    <w:qFormat/>
    <w:rsid w:val="00932C70"/>
    <w:pPr>
      <w:ind w:firstLine="2268"/>
      <w:jc w:val="both"/>
    </w:pPr>
  </w:style>
  <w:style w:type="paragraph" w:customStyle="1" w:styleId="Numerado">
    <w:name w:val="Numerado"/>
    <w:qFormat/>
    <w:rsid w:val="00932C70"/>
    <w:pPr>
      <w:tabs>
        <w:tab w:val="num" w:pos="0"/>
        <w:tab w:val="left" w:pos="1418"/>
      </w:tabs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qFormat/>
    <w:rsid w:val="00932C70"/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31">
    <w:name w:val="xl31"/>
    <w:basedOn w:val="Normal"/>
    <w:qFormat/>
    <w:rsid w:val="00932C70"/>
    <w:pPr>
      <w:pBdr>
        <w:left w:val="single" w:sz="4" w:space="0" w:color="000000"/>
      </w:pBdr>
      <w:spacing w:beforeAutospacing="1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ormal"/>
    <w:qFormat/>
    <w:rsid w:val="00932C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Arial Unicode MS" w:hAnsi="Arial" w:cs="Arial"/>
      <w:sz w:val="18"/>
      <w:szCs w:val="18"/>
    </w:rPr>
  </w:style>
  <w:style w:type="paragraph" w:styleId="TextosemFormatao">
    <w:name w:val="Plain Text"/>
    <w:basedOn w:val="Normal"/>
    <w:link w:val="TextosemFormataoChar"/>
    <w:qFormat/>
    <w:rsid w:val="00932C70"/>
    <w:rPr>
      <w:rFonts w:ascii="Courier New" w:hAnsi="Courier New"/>
      <w:sz w:val="20"/>
      <w:szCs w:val="20"/>
    </w:rPr>
  </w:style>
  <w:style w:type="paragraph" w:customStyle="1" w:styleId="A200165">
    <w:name w:val="_A200165"/>
    <w:qFormat/>
    <w:rsid w:val="00932C70"/>
    <w:pPr>
      <w:widowControl w:val="0"/>
      <w:ind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qFormat/>
    <w:rsid w:val="00932C70"/>
    <w:rPr>
      <w:rFonts w:ascii="Arial" w:hAnsi="Arial"/>
      <w:b/>
      <w:szCs w:val="20"/>
    </w:rPr>
  </w:style>
  <w:style w:type="paragraph" w:customStyle="1" w:styleId="font5">
    <w:name w:val="font5"/>
    <w:basedOn w:val="Normal"/>
    <w:qFormat/>
    <w:rsid w:val="00932C70"/>
    <w:pPr>
      <w:spacing w:beforeAutospacing="1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qFormat/>
    <w:rsid w:val="00932C70"/>
    <w:pPr>
      <w:spacing w:beforeAutospacing="1" w:afterAutospacing="1"/>
    </w:pPr>
    <w:rPr>
      <w:rFonts w:ascii="Arial" w:hAnsi="Arial" w:cs="Arial"/>
    </w:rPr>
  </w:style>
  <w:style w:type="paragraph" w:customStyle="1" w:styleId="xl25">
    <w:name w:val="xl25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hAnsi="Arial Unicode MS"/>
    </w:rPr>
  </w:style>
  <w:style w:type="paragraph" w:customStyle="1" w:styleId="xl26">
    <w:name w:val="xl26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27">
    <w:name w:val="xl27"/>
    <w:basedOn w:val="Normal"/>
    <w:qFormat/>
    <w:rsid w:val="00932C70"/>
    <w:pPr>
      <w:spacing w:beforeAutospacing="1" w:afterAutospacing="1"/>
    </w:pPr>
    <w:rPr>
      <w:rFonts w:ascii="Arial Unicode MS" w:hAnsi="Arial Unicode MS"/>
    </w:rPr>
  </w:style>
  <w:style w:type="paragraph" w:customStyle="1" w:styleId="xl28">
    <w:name w:val="xl28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29">
    <w:name w:val="xl29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</w:rPr>
  </w:style>
  <w:style w:type="paragraph" w:customStyle="1" w:styleId="xl30">
    <w:name w:val="xl30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32">
    <w:name w:val="xl32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Normal"/>
    <w:qFormat/>
    <w:rsid w:val="00932C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Normal"/>
    <w:qFormat/>
    <w:rsid w:val="00932C7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35">
    <w:name w:val="xl35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36">
    <w:name w:val="xl36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</w:rPr>
  </w:style>
  <w:style w:type="paragraph" w:customStyle="1" w:styleId="xl37">
    <w:name w:val="xl37"/>
    <w:basedOn w:val="Normal"/>
    <w:qFormat/>
    <w:rsid w:val="00932C70"/>
    <w:pPr>
      <w:spacing w:beforeAutospacing="1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Normal"/>
    <w:qFormat/>
    <w:rsid w:val="00932C70"/>
    <w:pPr>
      <w:spacing w:beforeAutospacing="1" w:afterAutospacing="1"/>
    </w:pPr>
    <w:rPr>
      <w:rFonts w:ascii="Arial" w:hAnsi="Arial" w:cs="Arial"/>
    </w:rPr>
  </w:style>
  <w:style w:type="paragraph" w:customStyle="1" w:styleId="xl40">
    <w:name w:val="xl40"/>
    <w:basedOn w:val="Normal"/>
    <w:qFormat/>
    <w:rsid w:val="00932C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41">
    <w:name w:val="xl41"/>
    <w:basedOn w:val="Normal"/>
    <w:qFormat/>
    <w:rsid w:val="00932C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 Unicode MS" w:hAnsi="Arial Unicode MS"/>
    </w:rPr>
  </w:style>
  <w:style w:type="paragraph" w:customStyle="1" w:styleId="p13">
    <w:name w:val="p13"/>
    <w:basedOn w:val="Normal"/>
    <w:qFormat/>
    <w:rsid w:val="00932C70"/>
    <w:pPr>
      <w:spacing w:after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p19">
    <w:name w:val="p19"/>
    <w:basedOn w:val="Normal"/>
    <w:qFormat/>
    <w:rsid w:val="00932C70"/>
    <w:pPr>
      <w:spacing w:before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32C70"/>
    <w:rPr>
      <w:rFonts w:ascii="Calibri" w:eastAsia="Calibri" w:hAnsi="Calibri" w:cstheme="minorBidi"/>
      <w:i/>
      <w:lang w:val="en-US" w:eastAsia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C70"/>
    <w:pPr>
      <w:ind w:left="720" w:right="720"/>
    </w:pPr>
    <w:rPr>
      <w:rFonts w:ascii="Calibri" w:eastAsia="Calibri" w:hAnsi="Calibri" w:cstheme="minorBidi"/>
      <w:b/>
      <w:i/>
      <w:szCs w:val="22"/>
      <w:lang w:val="en-US" w:eastAsia="en-US" w:bidi="en-US"/>
    </w:rPr>
  </w:style>
  <w:style w:type="paragraph" w:customStyle="1" w:styleId="xl58">
    <w:name w:val="xl58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59">
    <w:name w:val="xl59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63">
    <w:name w:val="xl63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styleId="Textodebalo">
    <w:name w:val="Balloon Text"/>
    <w:basedOn w:val="Normal"/>
    <w:link w:val="TextodebaloChar"/>
    <w:qFormat/>
    <w:rsid w:val="00932C70"/>
    <w:rPr>
      <w:rFonts w:ascii="Tahoma" w:hAnsi="Tahoma"/>
      <w:sz w:val="16"/>
      <w:szCs w:val="16"/>
    </w:rPr>
  </w:style>
  <w:style w:type="paragraph" w:customStyle="1" w:styleId="xl67">
    <w:name w:val="xl67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qFormat/>
    <w:rsid w:val="00932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table" w:customStyle="1" w:styleId="TableNormal">
    <w:name w:val="Table Normal"/>
    <w:uiPriority w:val="2"/>
    <w:semiHidden/>
    <w:unhideWhenUsed/>
    <w:qFormat/>
    <w:rsid w:val="00657DB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2816</Words>
  <Characters>15209</Characters>
  <Application>Microsoft Office Word</Application>
  <DocSecurity>0</DocSecurity>
  <Lines>126</Lines>
  <Paragraphs>35</Paragraphs>
  <ScaleCrop>false</ScaleCrop>
  <Company/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1</cp:lastModifiedBy>
  <cp:revision>2</cp:revision>
  <cp:lastPrinted>2016-03-28T16:16:00Z</cp:lastPrinted>
  <dcterms:created xsi:type="dcterms:W3CDTF">2024-07-29T13:38:00Z</dcterms:created>
  <dcterms:modified xsi:type="dcterms:W3CDTF">2024-07-29T13:38:00Z</dcterms:modified>
  <dc:language>pt-BR</dc:language>
</cp:coreProperties>
</file>